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C1" w:rsidRDefault="00960416" w:rsidP="00547DC1">
      <w:pPr>
        <w:shd w:val="clear" w:color="auto" w:fill="FFFFFF"/>
        <w:spacing w:after="0" w:line="324" w:lineRule="atLeast"/>
        <w:jc w:val="right"/>
        <w:textAlignment w:val="baseline"/>
      </w:pPr>
      <w:r>
        <w:rPr>
          <w:rFonts w:ascii="PTSerif" w:eastAsia="Times New Roman" w:hAnsi="PTSerif" w:cs="Times New Roman" w:hint="eastAsia"/>
          <w:i/>
          <w:iCs/>
          <w:color w:val="000000"/>
          <w:sz w:val="32"/>
          <w:szCs w:val="32"/>
          <w:lang w:eastAsia="ru-RU"/>
        </w:rPr>
        <w:t>К</w:t>
      </w:r>
      <w:r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  <w:t>сения Букша</w:t>
      </w:r>
      <w:r w:rsidRPr="00960416">
        <w:t xml:space="preserve"> </w:t>
      </w:r>
    </w:p>
    <w:p w:rsidR="00960416" w:rsidRDefault="00960416" w:rsidP="00547DC1">
      <w:pPr>
        <w:shd w:val="clear" w:color="auto" w:fill="FFFFFF"/>
        <w:spacing w:after="0" w:line="324" w:lineRule="atLeast"/>
        <w:jc w:val="right"/>
        <w:textAlignment w:val="baseline"/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</w:pPr>
      <w:r>
        <w:t xml:space="preserve"> </w:t>
      </w:r>
      <w:r w:rsidR="00547DC1">
        <w:t xml:space="preserve">( </w:t>
      </w:r>
      <w:r w:rsidR="00547DC1" w:rsidRPr="00547DC1">
        <w:t>https://mel.fm/otnosheniya_s_detmi/1472835-motivation</w:t>
      </w:r>
      <w:r w:rsidR="00547DC1">
        <w:t>)</w:t>
      </w:r>
    </w:p>
    <w:p w:rsidR="00547DC1" w:rsidRDefault="00547DC1" w:rsidP="00547DC1">
      <w:pPr>
        <w:shd w:val="clear" w:color="auto" w:fill="FFFFFF"/>
        <w:spacing w:after="525" w:line="324" w:lineRule="atLeast"/>
        <w:jc w:val="center"/>
        <w:textAlignment w:val="baseline"/>
        <w:rPr>
          <w:rFonts w:ascii="PTSerif" w:eastAsia="Times New Roman" w:hAnsi="PTSerif" w:cs="Times New Roman"/>
          <w:b/>
          <w:iCs/>
          <w:color w:val="000000"/>
          <w:sz w:val="32"/>
          <w:szCs w:val="32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525" w:line="324" w:lineRule="atLeast"/>
        <w:jc w:val="center"/>
        <w:textAlignment w:val="baseline"/>
        <w:rPr>
          <w:rFonts w:ascii="PTSerif" w:eastAsia="Times New Roman" w:hAnsi="PTSerif" w:cs="Times New Roman"/>
          <w:b/>
          <w:iCs/>
          <w:color w:val="000000"/>
          <w:sz w:val="32"/>
          <w:szCs w:val="32"/>
          <w:lang w:eastAsia="ru-RU"/>
        </w:rPr>
      </w:pPr>
      <w:r w:rsidRPr="00547DC1">
        <w:rPr>
          <w:rFonts w:ascii="PTSerif" w:eastAsia="Times New Roman" w:hAnsi="PTSerif" w:cs="Times New Roman"/>
          <w:b/>
          <w:iCs/>
          <w:color w:val="000000"/>
          <w:sz w:val="32"/>
          <w:szCs w:val="32"/>
          <w:lang w:eastAsia="ru-RU"/>
        </w:rPr>
        <w:t>10 способов неправильно мотивировать ребенка</w:t>
      </w:r>
    </w:p>
    <w:p w:rsidR="00547DC1" w:rsidRPr="00547DC1" w:rsidRDefault="00547DC1" w:rsidP="00547DC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 </w:t>
      </w:r>
    </w:p>
    <w:p w:rsidR="00547DC1" w:rsidRPr="00547DC1" w:rsidRDefault="00547DC1" w:rsidP="00547DC1">
      <w:pPr>
        <w:shd w:val="clear" w:color="auto" w:fill="FFFFFF"/>
        <w:spacing w:after="525" w:line="324" w:lineRule="atLeast"/>
        <w:ind w:firstLine="709"/>
        <w:jc w:val="both"/>
        <w:textAlignment w:val="baseline"/>
        <w:rPr>
          <w:rFonts w:ascii="PTSerif" w:eastAsia="Times New Roman" w:hAnsi="PTSerif" w:cs="Times New Roman"/>
          <w:i/>
          <w:iCs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i/>
          <w:iCs/>
          <w:color w:val="000000"/>
          <w:sz w:val="28"/>
          <w:szCs w:val="28"/>
          <w:lang w:eastAsia="ru-RU"/>
        </w:rPr>
        <w:t>Все помнят этот крылатый вопрос из фильма про Электроника: «Урри, где у него кнопка?» Абсолютно каждый родитель в минуту слабости задает себе этот вопрос. И нередко в поисках той-самой-кнопки мы нажимаем на кнопки другие — ненужные и опасные. Ксения Букша перечисляет неправильные способы мотивировать и объясняет, чем они вредны для детей. А иногда и для родителей тоже.</w:t>
      </w: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Битьё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«Принесешь двойку — будем пороть».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Да, </w:t>
      </w:r>
      <w:r w:rsidRPr="00547DC1">
        <w:rPr>
          <w:rFonts w:ascii="PTSerif" w:eastAsia="Times New Roman" w:hAnsi="PTSerif" w:cs="Times New Roman"/>
          <w:sz w:val="28"/>
          <w:szCs w:val="28"/>
          <w:lang w:eastAsia="ru-RU"/>
        </w:rPr>
        <w:t>практически </w:t>
      </w:r>
      <w:hyperlink r:id="rId7" w:tgtFrame="_blank" w:history="1">
        <w:r w:rsidRPr="00547DC1">
          <w:rPr>
            <w:rFonts w:ascii="PTSerif" w:eastAsia="Times New Roman" w:hAnsi="PTSerif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60% россиян</w:t>
        </w:r>
      </w:hyperlink>
      <w:r w:rsidRPr="00547DC1">
        <w:rPr>
          <w:rFonts w:ascii="PTSerif" w:eastAsia="Times New Roman" w:hAnsi="PTSerif" w:cs="Times New Roman"/>
          <w:sz w:val="28"/>
          <w:szCs w:val="28"/>
          <w:lang w:eastAsia="ru-RU"/>
        </w:rPr>
        <w:t> </w:t>
      </w:r>
      <w:hyperlink r:id="rId8" w:tgtFrame="_blank" w:history="1">
        <w:r w:rsidRPr="00547DC1">
          <w:rPr>
            <w:rFonts w:ascii="PTSerif" w:eastAsia="Times New Roman" w:hAnsi="PTSerif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 сих пор бьют детей</w:t>
        </w:r>
      </w:hyperlink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. Большинство все-таки в состоянии аффекта, но еще не вымерли те, кто мотивируют ремнем. Увы, метод и раньше работал плохо, а теперь не работает совсем, потому что в наше время главный фактор успеха — эмоциональный интеллект, умение чувствовать других, а это качество у систематически битого ребенка развивается плоховато. Ведь быть в эмоциональном контакте с родителем-садистом, любить его — это слишком больно. Приходится отморозить чувства и стать «как об стенку горох».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Шантаж эмоциями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«Не буду с тобой разговаривать, пока ты не…».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Первое время действует здорово. Но потом перестает. Побочки сильнее прямого эффекта. Десять раз ребенок испугается и будет просить-умолять, а на одиннадцатый — сам перестанет разговаривать с шантажистом-родителем.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«Ты меня в гроб вгонишь».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Мотивация тут — вина и чувство долга. Работает отлично: виноватый ребенок и вылезет из компа, и в магазин сбегает, и к приятелю с ночевкой лишний раз не пойдёт. Но счастья это не прибавляет и отношения не улучшает.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Лишение удовольствий за плохие оценки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«Папа сказал, что если будет хоть одна тройка, в круиз не поеду».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Ощущение несправедливости: тройку поставила историчка, которая девочку просто не любит. Оценки не всегда зависят от наших усилий, и формальная недостача оборачивается целыми испорченными каникулами.</w:t>
      </w: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Обещание подарков за будущее достижение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«Закончишь на отлично, подарим планшет».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Младший школьник не в состоянии всю четверть держать в голове эту цель и тянуться за ней. Смахивает на морковку перед мордочкой несчастного осла. И опять же: а если не получится? Разочарование, «не стоит теперь и стараться». На худой конец, можно держать свои планы в тайне, а уже после выставления оценок торжественно объявить о награде. Но тут возникает вопрос: если мы уже готовы подарить подарок, почему бы не сделать это без всяких условий.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Когда можно? «Ты не любишь кататься с горки, но если ты скатишься десять раз, тебе понравится. А я тебе за это куплю пирожок». Речь только о маленьких частных достижениях: мы чуть-чуть подкрепляем веру в себя, чтобы ребенок попробовал, если точно знаем, что потом ему это понравится. Ну а если все равно не хочет — отложим или бросим совсем.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Награды за успехи в том, что ребенок любит делать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«За первое место на турнире — новый конструктор.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Проводились исследования: детей, изначально любивших рисовать, разделили на две группы. В одной группе стали награждать за рисование, а в другой — нет. На следующий день награды в первой группе отменили, и многие отказались рисовать, в то время как во второй группе рисовали по-прежнему все. В мозгу детей из первой группы цепочка «я рисую — мне это приятно» была заменена другой: «я рисую — мне дают приз». Внутреннюю мотивацию заменили на внешнюю. А как лучше? Если успех действительно выдающийся (он может быть и неожиданным, на первый взгляд совсем скромным — соперник меня повалил, а я не заплакал!) — просто вместе порадуемся и отметим, например, в кафе.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Система бонусов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«За мытье полов три звездочки, за мытье ванны пять. Десять звездочек — лишние полчаса компьютерного времени. Пойман на вранье — минус восемь звезд».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Корпоративные темы в семье — это было бы смешно, если бы не было так грустно. Их можно внедрять совсем понемножку, например, когда мы хотим развить способность удерживать в голове какое-то решение или вместе боремся со вредной привычкой ребенка, но не должны тотально охватывать всю его жизнь. Например, клеить звездочки за каждый день без </w:t>
      </w: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драки — это ОК. Но создавать целую систему, где оценивается каждый шаг, не стоит в любом случае.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Деньги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«Даю 10 рублей за каждую пятерку».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Деньги не мотивируют. Если мне начать платить на 50% больше, я не буду работать лучше. Возможно, сработает кратковременно, на азарте, но не более того. Да и пятерки опять-таки разные бывают.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«Плачу 50 рублей за мытье посуды».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Тот же баг, что и в случае подарков за достижения. Только тут внешняя мотивация вытесняет нормальные семейные отношения, в которых посуду моет тот, кто хочет помочь, или тот, чья это обязанность. Когда можно? Когда платим за работу, сделанную не для семьи, а для внешнего мира. Например, подросток ведет соцсети фирмы, где работает мама. Или помогает с английским ребенку папиного приятеля.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Сравнивание с другими детьми и с собой в детстве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«Вот Миша каждый день читает».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«Ты посмотри, как Катя нарисовала и как ты наляпал!».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«Я в твои годы уже на рынке колготки продавал, деньги зарабатывал».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Ненавижу Мишу и Катю, их занятия мне совершенно неинтересны, и, вообще, я не Катя и не Миша — у меня свои темпы развития, свои способы делать разные вещи и свои планы в жизни. А ты, папа, рос в совершенно другое время, которое мне даже представить себе трудно. Лучше расскажи поподробнее, а не стыди.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Конкуренция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 нашей школе каждый месяц проводится конкурс на лучшего ученика по каждому предмету».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«А ну-ка, кто быстрее доест, раз-два-три!».</w:t>
      </w:r>
    </w:p>
    <w:p w:rsidR="00547DC1" w:rsidRP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Опять замена внутренней мотивации на внешнюю. В школе — еще и лишний аргумент против дружбы и взаимовыручки. В семье — лишний повод для вражды между братьями или сестрами. Лучше так: «В нашей школе каждый хоть раз побывает самым лучшим в чем-нибудь». И «Кто больше не хочет — может не доедать».</w:t>
      </w:r>
    </w:p>
    <w:p w:rsidR="00547DC1" w:rsidRDefault="00547DC1" w:rsidP="00547DC1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DC1" w:rsidRPr="00547DC1" w:rsidRDefault="00547DC1" w:rsidP="00547DC1">
      <w:pPr>
        <w:shd w:val="clear" w:color="auto" w:fill="FFFFFF"/>
        <w:spacing w:after="0" w:line="312" w:lineRule="atLeast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47D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Четкая зависимость: хвалим за успехи, ругаем за неудачи</w:t>
      </w:r>
    </w:p>
    <w:p w:rsidR="00547DC1" w:rsidRPr="00547DC1" w:rsidRDefault="00547DC1" w:rsidP="00547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«Я тобой разочарована. Ты уже два года сидишь в третьем разряде. Надо было заниматься!»</w:t>
      </w: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 (Мамочка — сыну-шахматисту, недобравшему балл до второго разряда).</w:t>
      </w:r>
    </w:p>
    <w:p w:rsidR="00547DC1" w:rsidRDefault="00547DC1" w:rsidP="00547DC1">
      <w:pPr>
        <w:shd w:val="clear" w:color="auto" w:fill="FFFFFF"/>
        <w:spacing w:after="165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547DC1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Во-первых, мы же любим детей не за достижения, правда? А во-вторых, победа победе рознь, и поражение поражению тоже. Выражение нашей любви не должно зависеть от удачи, таланта или прилежания. Впрочем, хвалить-то, наверное, всегда здорово — только это уже не мотивация получается, а просто радость.</w:t>
      </w:r>
    </w:p>
    <w:sectPr w:rsidR="00547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06" w:rsidRDefault="00961F06" w:rsidP="00B921A3">
      <w:pPr>
        <w:spacing w:after="0" w:line="240" w:lineRule="auto"/>
      </w:pPr>
      <w:r>
        <w:separator/>
      </w:r>
    </w:p>
  </w:endnote>
  <w:endnote w:type="continuationSeparator" w:id="0">
    <w:p w:rsidR="00961F06" w:rsidRDefault="00961F06" w:rsidP="00B9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06" w:rsidRDefault="00961F06" w:rsidP="00B921A3">
      <w:pPr>
        <w:spacing w:after="0" w:line="240" w:lineRule="auto"/>
      </w:pPr>
      <w:r>
        <w:separator/>
      </w:r>
    </w:p>
  </w:footnote>
  <w:footnote w:type="continuationSeparator" w:id="0">
    <w:p w:rsidR="00961F06" w:rsidRDefault="00961F06" w:rsidP="00B9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 w:rsidP="00B921A3">
    <w:pPr>
      <w:pStyle w:val="a4"/>
      <w:spacing w:line="240" w:lineRule="atLeast"/>
      <w:jc w:val="right"/>
      <w:rPr>
        <w:b/>
        <w:i/>
      </w:rPr>
    </w:pPr>
    <w:r>
      <w:rPr>
        <w:b/>
        <w:i/>
      </w:rPr>
      <w:t xml:space="preserve">Министерство образования Пермского края </w:t>
    </w:r>
  </w:p>
  <w:p w:rsidR="00B921A3" w:rsidRDefault="00B921A3" w:rsidP="00B921A3">
    <w:pPr>
      <w:pStyle w:val="a4"/>
      <w:spacing w:line="240" w:lineRule="atLeast"/>
      <w:jc w:val="right"/>
      <w:rPr>
        <w:b/>
        <w:i/>
      </w:rPr>
    </w:pPr>
    <w:r>
      <w:rPr>
        <w:b/>
        <w:i/>
      </w:rPr>
      <w:t>ГАУ ДПО «Институт развития образования Пермского края»</w:t>
    </w:r>
  </w:p>
  <w:p w:rsidR="00B921A3" w:rsidRDefault="00B921A3" w:rsidP="00B921A3">
    <w:pPr>
      <w:pStyle w:val="a4"/>
      <w:spacing w:line="240" w:lineRule="atLeast"/>
      <w:jc w:val="right"/>
    </w:pPr>
    <w:r>
      <w:rPr>
        <w:b/>
        <w:i/>
      </w:rPr>
      <w:t xml:space="preserve"> АНО «Институт поддержки семейного воспитания» </w:t>
    </w:r>
    <w:r>
      <w:rPr>
        <w:b/>
        <w:i/>
        <w:u w:val="single"/>
      </w:rPr>
      <w:t>_____________________________________________________________________________________</w:t>
    </w:r>
  </w:p>
  <w:p w:rsidR="00B921A3" w:rsidRPr="00B921A3" w:rsidRDefault="00B921A3" w:rsidP="00B921A3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A3" w:rsidRDefault="00B92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3A"/>
    <w:rsid w:val="00547DC1"/>
    <w:rsid w:val="007B2F93"/>
    <w:rsid w:val="00960416"/>
    <w:rsid w:val="00961F06"/>
    <w:rsid w:val="00B4213A"/>
    <w:rsid w:val="00B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1A3"/>
  </w:style>
  <w:style w:type="paragraph" w:styleId="a6">
    <w:name w:val="footer"/>
    <w:basedOn w:val="a"/>
    <w:link w:val="a7"/>
    <w:uiPriority w:val="99"/>
    <w:unhideWhenUsed/>
    <w:rsid w:val="00B9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1A3"/>
  </w:style>
  <w:style w:type="paragraph" w:styleId="a6">
    <w:name w:val="footer"/>
    <w:basedOn w:val="a"/>
    <w:link w:val="a7"/>
    <w:uiPriority w:val="99"/>
    <w:unhideWhenUsed/>
    <w:rsid w:val="00B9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9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4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95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48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2263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937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4110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7054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032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8823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8266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4121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da.ru/old/30-05-2015/deti-prava-dopustimost-roditelskogo-i-gosudarstvennogo-kontroly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vada.ru/old/30-05-2015/deti-prava-dopustimost-roditelskogo-i-gosudarstvennogo-kontroly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2018-11-21T14:53:00Z</dcterms:created>
  <dcterms:modified xsi:type="dcterms:W3CDTF">2018-11-21T15:02:00Z</dcterms:modified>
</cp:coreProperties>
</file>